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both"/>
        <w:rPr>
          <w:rFonts w:hint="eastAsia" w:ascii="方正仿宋_GB18030" w:hAnsi="方正仿宋_GB18030" w:eastAsia="方正仿宋_GB18030" w:cs="方正仿宋_GB18030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仿宋_GB18030" w:hAnsi="方正仿宋_GB18030" w:eastAsia="方正仿宋_GB18030" w:cs="方正仿宋_GB18030"/>
          <w:b/>
          <w:bCs/>
          <w:sz w:val="40"/>
          <w:szCs w:val="4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40"/>
          <w:szCs w:val="40"/>
          <w:lang w:val="en-US" w:eastAsia="zh-CN"/>
        </w:rPr>
        <w:t>国学编程竞赛规则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仿宋_GB18030" w:hAnsi="方正仿宋_GB18030" w:eastAsia="方正仿宋_GB18030" w:cs="方正仿宋_GB18030"/>
          <w:b/>
          <w:bCs/>
          <w:sz w:val="40"/>
          <w:szCs w:val="4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方正仿宋_GB18030" w:hAnsi="方正仿宋_GB18030" w:eastAsia="方正仿宋_GB18030" w:cs="方正仿宋_GB18030"/>
          <w:b/>
          <w:bCs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1"/>
          <w:szCs w:val="31"/>
          <w:lang w:val="en-US" w:eastAsia="zh-CN"/>
        </w:rPr>
        <w:t>比赛项目</w:t>
      </w:r>
    </w:p>
    <w:p>
      <w:pPr>
        <w:numPr>
          <w:ilvl w:val="0"/>
          <w:numId w:val="0"/>
        </w:numPr>
        <w:spacing w:line="360" w:lineRule="auto"/>
        <w:ind w:firstLine="620" w:firstLineChars="200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国学编程项目分为两个组别：</w:t>
      </w:r>
    </w:p>
    <w:p>
      <w:pPr>
        <w:numPr>
          <w:ilvl w:val="0"/>
          <w:numId w:val="0"/>
        </w:numPr>
        <w:spacing w:line="360" w:lineRule="auto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 xml:space="preserve">      （一）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国学编程</w:t>
      </w: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编程初级组（1-3 年级）</w:t>
      </w:r>
    </w:p>
    <w:p>
      <w:pPr>
        <w:numPr>
          <w:ilvl w:val="0"/>
          <w:numId w:val="0"/>
        </w:numPr>
        <w:spacing w:line="360" w:lineRule="auto"/>
        <w:ind w:firstLine="899" w:firstLineChars="0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国学编程</w:t>
      </w: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 xml:space="preserve">编程中级组（4-6 年级） </w:t>
      </w:r>
    </w:p>
    <w:p>
      <w:pPr>
        <w:numPr>
          <w:ilvl w:val="0"/>
          <w:numId w:val="0"/>
        </w:numPr>
        <w:spacing w:line="360" w:lineRule="auto"/>
        <w:ind w:firstLine="899" w:firstLineChars="0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（三）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国学编程</w:t>
      </w: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 xml:space="preserve">编程高级组（7-9年级）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1"/>
          <w:szCs w:val="31"/>
          <w:lang w:val="en-US" w:eastAsia="zh-CN"/>
        </w:rPr>
        <w:t>创作要求：</w:t>
      </w:r>
    </w:p>
    <w:p>
      <w:pPr>
        <w:numPr>
          <w:ilvl w:val="0"/>
          <w:numId w:val="1"/>
        </w:numPr>
        <w:spacing w:line="360" w:lineRule="auto"/>
        <w:ind w:left="0" w:leftChars="0" w:firstLine="62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  <w:t>使用Scratch3.0语言，作品呈现可以用故事、游戏、动画、教学课件、互动等多种方式；</w:t>
      </w:r>
    </w:p>
    <w:p>
      <w:pPr>
        <w:numPr>
          <w:ilvl w:val="0"/>
          <w:numId w:val="1"/>
        </w:numPr>
        <w:spacing w:line="360" w:lineRule="auto"/>
        <w:ind w:left="0" w:leftChars="0" w:firstLine="62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  <w:t>作品主题鲜明，创意独特，表达形式新颖，构思巧妙，充分发挥想象力；</w:t>
      </w:r>
    </w:p>
    <w:p>
      <w:pPr>
        <w:numPr>
          <w:ilvl w:val="0"/>
          <w:numId w:val="1"/>
        </w:numPr>
        <w:spacing w:line="360" w:lineRule="auto"/>
        <w:ind w:left="0" w:leftChars="0" w:firstLine="62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  <w:t>构思设计：作品构思完整，内容主题清晰，有始有终；作品积极健康，反映青少年的年龄心智特点和玩乐思维。</w:t>
      </w:r>
    </w:p>
    <w:p>
      <w:pPr>
        <w:numPr>
          <w:ilvl w:val="0"/>
          <w:numId w:val="1"/>
        </w:numPr>
        <w:spacing w:line="360" w:lineRule="auto"/>
        <w:ind w:left="0" w:leftChars="0" w:firstLine="62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  <w:t xml:space="preserve">用户体验良好，人机交互顺畅，观看或操作流程简易，无复杂、多余步骤； </w:t>
      </w:r>
    </w:p>
    <w:p>
      <w:pPr>
        <w:numPr>
          <w:ilvl w:val="0"/>
          <w:numId w:val="1"/>
        </w:numPr>
        <w:spacing w:line="360" w:lineRule="auto"/>
        <w:ind w:left="0" w:leftChars="0" w:firstLine="62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  <w:t>艺术审美方面界面美观、布局合理，给人以审美愉悦和审美享受；角色造型生动丰富，动画动效协调自然，音乐音效使用恰到好处；作品选取的角色背景等相关素材要符合故事背景；</w:t>
      </w:r>
    </w:p>
    <w:p>
      <w:pPr>
        <w:numPr>
          <w:ilvl w:val="0"/>
          <w:numId w:val="1"/>
        </w:numPr>
        <w:spacing w:line="360" w:lineRule="auto"/>
        <w:ind w:left="0" w:leftChars="0" w:firstLine="62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  <w:t>程序技术合理正确地使用编程技术，程序运行稳定、流畅、高效，无明显错误；程序结构划分合理，代码编写规范，清晰易读；通过多元、合理的算法解决复杂的计算问题，实现程序的丰富效果。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方正仿宋_GB18030" w:hAnsi="方正仿宋_GB18030" w:eastAsia="方正仿宋_GB18030" w:cs="方正仿宋_GB18030"/>
          <w:b/>
          <w:bCs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1"/>
          <w:szCs w:val="31"/>
          <w:lang w:val="en-US" w:eastAsia="zh-CN"/>
        </w:rPr>
        <w:t>程序模块考察范围：</w:t>
      </w:r>
    </w:p>
    <w:p>
      <w:pPr>
        <w:numPr>
          <w:ilvl w:val="0"/>
          <w:numId w:val="1"/>
        </w:numPr>
        <w:spacing w:line="360" w:lineRule="auto"/>
        <w:ind w:left="0" w:leftChars="0" w:firstLine="62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  <w:t>初级组：运动模块、外观模块、事件模块、控制模块、造型设置、运算模块、</w:t>
      </w:r>
    </w:p>
    <w:p>
      <w:pPr>
        <w:numPr>
          <w:ilvl w:val="0"/>
          <w:numId w:val="1"/>
        </w:numPr>
        <w:spacing w:line="360" w:lineRule="auto"/>
        <w:ind w:left="0" w:leftChars="0" w:firstLine="620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  <w:t>中级组：运动模块、外观模块、事件模块、控制模块、造型设置、侦测模块、运算模块、变量模块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方正仿宋_GB18030" w:hAnsi="方正仿宋_GB18030" w:eastAsia="方正仿宋_GB18030" w:cs="方正仿宋_GB18030"/>
          <w:b/>
          <w:bCs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1"/>
          <w:szCs w:val="31"/>
          <w:lang w:val="en-US" w:eastAsia="zh-CN"/>
        </w:rPr>
        <w:t>主题公布：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default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1"/>
          <w:szCs w:val="31"/>
          <w:lang w:val="en-US" w:eastAsia="zh-CN"/>
        </w:rPr>
        <w:t>主办方现场公布竞赛主题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方正仿宋_GB18030" w:hAnsi="方正仿宋_GB18030" w:eastAsia="方正仿宋_GB18030" w:cs="方正仿宋_GB18030"/>
          <w:b/>
          <w:bCs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1"/>
          <w:szCs w:val="31"/>
          <w:lang w:val="en-US" w:eastAsia="zh-CN"/>
        </w:rPr>
        <w:t>评比标准(100分)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1. 思想性(15分)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(1)内容健康、积极向上，作品构思完整(5 分 )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(2)填写操作说明表，描述简洁清晰完整(10 分 )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2. 艺术性(10分)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(1)界面美观、友好，布局合理实用(5 分 )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(2)角色造型生动丰富，运用的素材充分表现主题(5分)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3. 技术性(65 分 )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(1)程序运行稳定、流畅、高效，无明显错误(40 分 )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(2)程序结构划分合理，代码编写规范，清晰易读(5分)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(3)通过多元、合理的算法解决复杂的计算问题，实现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程序的丰富效果(15 分 )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(4)人机交互顺畅，有提示性语句，用户体验良好(5 分 )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4. 创造性(10分)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(1)具有想象力和个性表现力(5 分 )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1"/>
          <w:szCs w:val="31"/>
          <w:lang w:val="en-US" w:eastAsia="zh-CN"/>
        </w:rPr>
        <w:t>(2)构思巧妙、创新独特(5 分 )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zk0NzI3YTMyMDRiYTk5ZjIzZDYyZmZmYjkzNDEifQ=="/>
  </w:docVars>
  <w:rsids>
    <w:rsidRoot w:val="00000000"/>
    <w:rsid w:val="235E69AC"/>
    <w:rsid w:val="3DF821B3"/>
    <w:rsid w:val="3F17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Heading #1|1"/>
    <w:basedOn w:val="1"/>
    <w:qFormat/>
    <w:uiPriority w:val="0"/>
    <w:pPr>
      <w:autoSpaceDE/>
      <w:autoSpaceDN/>
      <w:spacing w:after="380" w:line="698" w:lineRule="exact"/>
      <w:jc w:val="center"/>
      <w:outlineLvl w:val="0"/>
    </w:pPr>
    <w:rPr>
      <w:color w:val="000000"/>
      <w:sz w:val="40"/>
      <w:szCs w:val="4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autoSpaceDE/>
      <w:autoSpaceDN/>
      <w:spacing w:line="391" w:lineRule="auto"/>
      <w:ind w:firstLine="400"/>
    </w:pPr>
    <w:rPr>
      <w:color w:val="00000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1235</Words>
  <Characters>1326</Characters>
  <Paragraphs>32</Paragraphs>
  <TotalTime>5</TotalTime>
  <ScaleCrop>false</ScaleCrop>
  <LinksUpToDate>false</LinksUpToDate>
  <CharactersWithSpaces>1393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2020-09-11T06:33:00Z</dcterms:created>
  <dc:creator>123</dc:creator>
  <cp:lastModifiedBy>一梦五百年</cp:lastModifiedBy>
  <dcterms:modified xsi:type="dcterms:W3CDTF">2023-04-25T08:36:46Z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63605FEDB7FD44E0B185DF790C3FE575_13</vt:lpwstr>
  </property>
</Properties>
</file>